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spacing w:beforeAutospacing="0" w:line="580" w:lineRule="exact"/>
        <w:jc w:val="left"/>
        <w:textAlignment w:val="auto"/>
        <w:rPr>
          <w:rFonts w:hint="eastAsia" w:ascii="方正仿宋_GBK" w:hAnsi="方正仿宋_GBK" w:eastAsia="方正仿宋_GBK" w:cs="方正仿宋_GBK"/>
          <w:kern w:val="0"/>
          <w:sz w:val="32"/>
          <w:szCs w:val="32"/>
          <w:lang w:eastAsia="zh-CN"/>
        </w:rPr>
      </w:pPr>
    </w:p>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hint="eastAsia" w:ascii="方正小标宋_GBK" w:hAnsi="方正小标宋_GBK" w:eastAsia="方正小标宋_GBK" w:cs="方正小标宋_GBK"/>
          <w:b/>
          <w:kern w:val="0"/>
          <w:sz w:val="44"/>
          <w:szCs w:val="44"/>
        </w:rPr>
      </w:pPr>
      <w:r>
        <w:rPr>
          <w:rFonts w:hint="eastAsia" w:ascii="方正小标宋_GBK" w:hAnsi="方正小标宋_GBK" w:eastAsia="方正小标宋_GBK" w:cs="方正小标宋_GBK"/>
          <w:b/>
          <w:kern w:val="0"/>
          <w:sz w:val="44"/>
          <w:szCs w:val="44"/>
          <w:lang w:eastAsia="zh-CN"/>
        </w:rPr>
        <w:t>维西傈僳族自治县人民政府办公室关于印发《</w:t>
      </w:r>
      <w:r>
        <w:rPr>
          <w:rFonts w:hint="eastAsia" w:ascii="方正小标宋_GBK" w:hAnsi="方正小标宋_GBK" w:eastAsia="方正小标宋_GBK" w:cs="方正小标宋_GBK"/>
          <w:b/>
          <w:kern w:val="0"/>
          <w:sz w:val="44"/>
          <w:szCs w:val="44"/>
        </w:rPr>
        <w:t>云南澜沧江托巴水电站项目库区建设</w:t>
      </w:r>
    </w:p>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hint="eastAsia" w:ascii="方正小标宋_GBK" w:hAnsi="方正小标宋_GBK" w:eastAsia="方正小标宋_GBK" w:cs="方正小标宋_GBK"/>
          <w:b/>
          <w:kern w:val="0"/>
          <w:sz w:val="44"/>
          <w:szCs w:val="44"/>
          <w:lang w:eastAsia="zh-CN"/>
        </w:rPr>
      </w:pPr>
      <w:r>
        <w:rPr>
          <w:rFonts w:hint="eastAsia" w:ascii="方正小标宋_GBK" w:hAnsi="方正小标宋_GBK" w:eastAsia="方正小标宋_GBK" w:cs="方正小标宋_GBK"/>
          <w:b/>
          <w:kern w:val="0"/>
          <w:sz w:val="44"/>
          <w:szCs w:val="44"/>
        </w:rPr>
        <w:t>用地征地补偿安置方案</w:t>
      </w:r>
      <w:r>
        <w:rPr>
          <w:rFonts w:hint="eastAsia" w:ascii="方正小标宋_GBK" w:hAnsi="方正小标宋_GBK" w:eastAsia="方正小标宋_GBK" w:cs="方正小标宋_GBK"/>
          <w:b/>
          <w:kern w:val="0"/>
          <w:sz w:val="44"/>
          <w:szCs w:val="44"/>
          <w:lang w:eastAsia="zh-CN"/>
        </w:rPr>
        <w:t>》的通知</w:t>
      </w:r>
    </w:p>
    <w:p>
      <w:pPr>
        <w:pStyle w:val="2"/>
        <w:rPr>
          <w:rFonts w:hint="eastAsia"/>
          <w:lang w:eastAsia="zh-CN"/>
        </w:rPr>
      </w:pPr>
      <w:bookmarkStart w:id="0" w:name="_GoBack"/>
    </w:p>
    <w:p>
      <w:pPr>
        <w:keepNext w:val="0"/>
        <w:keepLines w:val="0"/>
        <w:pageBreakBefore w:val="0"/>
        <w:kinsoku/>
        <w:wordWrap/>
        <w:overflowPunct/>
        <w:topLinePunct w:val="0"/>
        <w:autoSpaceDE w:val="0"/>
        <w:autoSpaceDN w:val="0"/>
        <w:bidi w:val="0"/>
        <w:adjustRightInd w:val="0"/>
        <w:snapToGrid/>
        <w:spacing w:beforeAutospacing="0" w:line="580" w:lineRule="exact"/>
        <w:jc w:val="center"/>
        <w:textAlignment w:val="auto"/>
        <w:rPr>
          <w:rFonts w:hint="eastAsia" w:ascii="方正仿宋_GBK" w:hAnsi="方正仿宋_GBK" w:eastAsia="方正仿宋_GBK" w:cs="方正仿宋_GBK"/>
          <w:kern w:val="0"/>
          <w:sz w:val="32"/>
          <w:szCs w:val="32"/>
          <w:lang w:eastAsia="zh-CN"/>
        </w:rPr>
      </w:pPr>
      <w:r>
        <w:rPr>
          <w:rFonts w:hint="eastAsia" w:eastAsia="方正仿宋_GBK"/>
          <w:sz w:val="32"/>
          <w:szCs w:val="32"/>
        </w:rPr>
        <w:t>维政办发</w:t>
      </w:r>
      <w:r>
        <w:rPr>
          <w:rFonts w:hint="eastAsia" w:ascii="方正仿宋_GBK" w:eastAsia="方正仿宋_GBK"/>
          <w:sz w:val="32"/>
          <w:szCs w:val="32"/>
        </w:rPr>
        <w:t>〔20</w:t>
      </w:r>
      <w:r>
        <w:rPr>
          <w:rFonts w:hint="eastAsia" w:ascii="方正仿宋_GBK" w:eastAsia="方正仿宋_GBK"/>
          <w:sz w:val="32"/>
          <w:szCs w:val="32"/>
          <w:lang w:val="en-US" w:eastAsia="zh-CN"/>
        </w:rPr>
        <w:t>22</w:t>
      </w:r>
      <w:r>
        <w:rPr>
          <w:rFonts w:hint="eastAsia" w:ascii="方正仿宋_GBK" w:eastAsia="方正仿宋_GBK"/>
          <w:sz w:val="32"/>
          <w:szCs w:val="32"/>
        </w:rPr>
        <w:t>〕</w:t>
      </w:r>
      <w:r>
        <w:rPr>
          <w:rFonts w:hint="eastAsia" w:ascii="方正仿宋_GBK" w:eastAsia="方正仿宋_GBK"/>
          <w:sz w:val="32"/>
          <w:szCs w:val="32"/>
          <w:lang w:val="en-US" w:eastAsia="zh-CN"/>
        </w:rPr>
        <w:t>11</w:t>
      </w:r>
      <w:r>
        <w:rPr>
          <w:rFonts w:hint="eastAsia" w:eastAsia="方正仿宋_GBK"/>
          <w:sz w:val="32"/>
          <w:szCs w:val="32"/>
        </w:rPr>
        <w:t>号</w:t>
      </w:r>
    </w:p>
    <w:bookmarkEnd w:id="0"/>
    <w:p>
      <w:pPr>
        <w:keepNext w:val="0"/>
        <w:keepLines w:val="0"/>
        <w:pageBreakBefore w:val="0"/>
        <w:kinsoku/>
        <w:wordWrap/>
        <w:overflowPunct/>
        <w:topLinePunct w:val="0"/>
        <w:autoSpaceDE w:val="0"/>
        <w:autoSpaceDN w:val="0"/>
        <w:bidi w:val="0"/>
        <w:adjustRightInd w:val="0"/>
        <w:snapToGrid/>
        <w:spacing w:beforeAutospacing="0" w:line="580" w:lineRule="exact"/>
        <w:jc w:val="left"/>
        <w:textAlignment w:val="auto"/>
        <w:rPr>
          <w:rFonts w:hint="eastAsia" w:ascii="方正仿宋_GBK" w:hAnsi="方正仿宋_GBK" w:eastAsia="方正仿宋_GBK" w:cs="方正仿宋_GBK"/>
          <w:kern w:val="0"/>
          <w:sz w:val="32"/>
          <w:szCs w:val="32"/>
          <w:lang w:eastAsia="zh-CN"/>
        </w:rPr>
      </w:pPr>
    </w:p>
    <w:p>
      <w:pPr>
        <w:keepNext w:val="0"/>
        <w:keepLines w:val="0"/>
        <w:pageBreakBefore w:val="0"/>
        <w:kinsoku/>
        <w:wordWrap/>
        <w:overflowPunct/>
        <w:topLinePunct w:val="0"/>
        <w:autoSpaceDE w:val="0"/>
        <w:autoSpaceDN w:val="0"/>
        <w:bidi w:val="0"/>
        <w:adjustRightInd w:val="0"/>
        <w:snapToGrid/>
        <w:spacing w:beforeAutospacing="0" w:line="580" w:lineRule="exact"/>
        <w:jc w:val="left"/>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各涉及乡（镇）人民政府、县直各有关单位：</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eastAsia="zh-CN"/>
        </w:rPr>
        <w:t>根</w:t>
      </w:r>
      <w:r>
        <w:rPr>
          <w:rFonts w:hint="eastAsia" w:ascii="方正仿宋_GBK" w:hAnsi="方正仿宋_GBK" w:eastAsia="方正仿宋_GBK" w:cs="方正仿宋_GBK"/>
          <w:kern w:val="0"/>
          <w:sz w:val="32"/>
          <w:szCs w:val="32"/>
        </w:rPr>
        <w:t>据云南澜沧江托巴水电站项目库区建设用地拟征收土地社会稳定风险评估结果，结合土地现状调查情况</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制定了</w:t>
      </w:r>
      <w:r>
        <w:rPr>
          <w:rFonts w:hint="eastAsia" w:ascii="方正仿宋_GBK" w:hAnsi="方正仿宋_GBK" w:eastAsia="方正仿宋_GBK" w:cs="方正仿宋_GBK"/>
          <w:kern w:val="0"/>
          <w:sz w:val="32"/>
          <w:szCs w:val="32"/>
          <w:lang w:eastAsia="zh-CN"/>
        </w:rPr>
        <w:t>云南澜沧江托巴水电站项目库区建设用地征地补偿安置</w:t>
      </w:r>
      <w:r>
        <w:rPr>
          <w:rFonts w:hint="eastAsia" w:ascii="方正仿宋_GBK" w:hAnsi="方正仿宋_GBK" w:eastAsia="方正仿宋_GBK" w:cs="方正仿宋_GBK"/>
          <w:kern w:val="0"/>
          <w:sz w:val="32"/>
          <w:szCs w:val="32"/>
        </w:rPr>
        <w:t>方案,</w:t>
      </w:r>
      <w:r>
        <w:rPr>
          <w:rFonts w:hint="eastAsia" w:ascii="方正仿宋_GBK" w:hAnsi="方正仿宋_GBK" w:eastAsia="方正仿宋_GBK" w:cs="方正仿宋_GBK"/>
          <w:kern w:val="0"/>
          <w:sz w:val="32"/>
          <w:szCs w:val="32"/>
          <w:lang w:eastAsia="zh-CN"/>
        </w:rPr>
        <w:t>经县人民政府研究同意，现印发给你们，请遵照执行</w:t>
      </w:r>
      <w:r>
        <w:rPr>
          <w:rFonts w:hint="eastAsia" w:ascii="方正仿宋_GBK" w:hAnsi="方正仿宋_GBK" w:eastAsia="方正仿宋_GBK" w:cs="方正仿宋_GBK"/>
          <w:kern w:val="0"/>
          <w:sz w:val="32"/>
          <w:szCs w:val="32"/>
        </w:rPr>
        <w:t>：</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一、征收范围</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云南澜沧江托巴水电站项目库区建设用地，拟征收土地涉及我县白济汛乡白济汛村白济、白济汛一、白济汛二、白济汛三、日登落、上河江桥、梧树科、下河江桥</w:t>
      </w:r>
      <w:r>
        <w:rPr>
          <w:rFonts w:hint="eastAsia" w:ascii="方正仿宋_GBK" w:hAnsi="方正仿宋_GBK" w:eastAsia="方正仿宋_GBK" w:cs="方正仿宋_GBK"/>
          <w:kern w:val="0"/>
          <w:sz w:val="32"/>
          <w:szCs w:val="32"/>
          <w:lang w:val="en-US" w:eastAsia="zh-CN"/>
        </w:rPr>
        <w:t>8个</w:t>
      </w:r>
      <w:r>
        <w:rPr>
          <w:rFonts w:hint="eastAsia" w:ascii="方正仿宋_GBK" w:hAnsi="方正仿宋_GBK" w:eastAsia="方正仿宋_GBK" w:cs="方正仿宋_GBK"/>
          <w:kern w:val="0"/>
          <w:sz w:val="32"/>
          <w:szCs w:val="32"/>
        </w:rPr>
        <w:t>村民小组，碧罗村害咱村民小组，干坝子村白浪统、干坝、洛旧、庄房</w:t>
      </w:r>
      <w:r>
        <w:rPr>
          <w:rFonts w:hint="eastAsia" w:ascii="方正仿宋_GBK" w:hAnsi="方正仿宋_GBK" w:eastAsia="方正仿宋_GBK" w:cs="方正仿宋_GBK"/>
          <w:kern w:val="0"/>
          <w:sz w:val="32"/>
          <w:szCs w:val="32"/>
          <w:lang w:val="en-US" w:eastAsia="zh-CN"/>
        </w:rPr>
        <w:t>4个</w:t>
      </w:r>
      <w:r>
        <w:rPr>
          <w:rFonts w:hint="eastAsia" w:ascii="方正仿宋_GBK" w:hAnsi="方正仿宋_GBK" w:eastAsia="方正仿宋_GBK" w:cs="方正仿宋_GBK"/>
          <w:kern w:val="0"/>
          <w:sz w:val="32"/>
          <w:szCs w:val="32"/>
        </w:rPr>
        <w:t>村民小组，共厂村白浪坝、老厂、糯阁、高支洛、忍根、小坝子、英夺一、英夺二</w:t>
      </w:r>
      <w:r>
        <w:rPr>
          <w:rFonts w:hint="eastAsia" w:ascii="方正仿宋_GBK" w:hAnsi="方正仿宋_GBK" w:eastAsia="方正仿宋_GBK" w:cs="方正仿宋_GBK"/>
          <w:kern w:val="0"/>
          <w:sz w:val="32"/>
          <w:szCs w:val="32"/>
          <w:lang w:val="en-US" w:eastAsia="zh-CN"/>
        </w:rPr>
        <w:t>8个</w:t>
      </w:r>
      <w:r>
        <w:rPr>
          <w:rFonts w:hint="eastAsia" w:ascii="方正仿宋_GBK" w:hAnsi="方正仿宋_GBK" w:eastAsia="方正仿宋_GBK" w:cs="方正仿宋_GBK"/>
          <w:kern w:val="0"/>
          <w:sz w:val="32"/>
          <w:szCs w:val="32"/>
        </w:rPr>
        <w:t>村民小组，共恩村阿纳鲁拾、里俄、抗朵、妹几里、上洼平、下洼平、小谷田</w:t>
      </w:r>
      <w:r>
        <w:rPr>
          <w:rFonts w:hint="eastAsia" w:ascii="方正仿宋_GBK" w:hAnsi="方正仿宋_GBK" w:eastAsia="方正仿宋_GBK" w:cs="方正仿宋_GBK"/>
          <w:kern w:val="0"/>
          <w:sz w:val="32"/>
          <w:szCs w:val="32"/>
          <w:lang w:val="en-US" w:eastAsia="zh-CN"/>
        </w:rPr>
        <w:t>7个</w:t>
      </w:r>
      <w:r>
        <w:rPr>
          <w:rFonts w:hint="eastAsia" w:ascii="方正仿宋_GBK" w:hAnsi="方正仿宋_GBK" w:eastAsia="方正仿宋_GBK" w:cs="方正仿宋_GBK"/>
          <w:kern w:val="0"/>
          <w:sz w:val="32"/>
          <w:szCs w:val="32"/>
        </w:rPr>
        <w:t>村民小组，共吉村黑日多上村民小组，共乐村吉岔、阮八址、下腊恩、下笼嘎</w:t>
      </w:r>
      <w:r>
        <w:rPr>
          <w:rFonts w:hint="eastAsia" w:ascii="方正仿宋_GBK" w:hAnsi="方正仿宋_GBK" w:eastAsia="方正仿宋_GBK" w:cs="方正仿宋_GBK"/>
          <w:kern w:val="0"/>
          <w:sz w:val="32"/>
          <w:szCs w:val="32"/>
          <w:lang w:val="en-US" w:eastAsia="zh-CN"/>
        </w:rPr>
        <w:t>4个</w:t>
      </w:r>
      <w:r>
        <w:rPr>
          <w:rFonts w:hint="eastAsia" w:ascii="方正仿宋_GBK" w:hAnsi="方正仿宋_GBK" w:eastAsia="方正仿宋_GBK" w:cs="方正仿宋_GBK"/>
          <w:kern w:val="0"/>
          <w:sz w:val="32"/>
          <w:szCs w:val="32"/>
        </w:rPr>
        <w:t>村民小组，共元村倮吉比一、倮吉比二、托八</w:t>
      </w:r>
      <w:r>
        <w:rPr>
          <w:rFonts w:hint="eastAsia" w:ascii="方正仿宋_GBK" w:hAnsi="方正仿宋_GBK" w:eastAsia="方正仿宋_GBK" w:cs="方正仿宋_GBK"/>
          <w:kern w:val="0"/>
          <w:sz w:val="32"/>
          <w:szCs w:val="32"/>
          <w:lang w:val="en-US" w:eastAsia="zh-CN"/>
        </w:rPr>
        <w:t>3个</w:t>
      </w:r>
      <w:r>
        <w:rPr>
          <w:rFonts w:hint="eastAsia" w:ascii="方正仿宋_GBK" w:hAnsi="方正仿宋_GBK" w:eastAsia="方正仿宋_GBK" w:cs="方正仿宋_GBK"/>
          <w:kern w:val="0"/>
          <w:sz w:val="32"/>
          <w:szCs w:val="32"/>
        </w:rPr>
        <w:t>村民小组，施底村岩瓷瓦、岩瓦</w:t>
      </w:r>
      <w:r>
        <w:rPr>
          <w:rFonts w:hint="eastAsia" w:ascii="方正仿宋_GBK" w:hAnsi="方正仿宋_GBK" w:eastAsia="方正仿宋_GBK" w:cs="方正仿宋_GBK"/>
          <w:kern w:val="0"/>
          <w:sz w:val="32"/>
          <w:szCs w:val="32"/>
          <w:lang w:val="en-US" w:eastAsia="zh-CN"/>
        </w:rPr>
        <w:t>2个</w:t>
      </w:r>
      <w:r>
        <w:rPr>
          <w:rFonts w:hint="eastAsia" w:ascii="方正仿宋_GBK" w:hAnsi="方正仿宋_GBK" w:eastAsia="方正仿宋_GBK" w:cs="方正仿宋_GBK"/>
          <w:kern w:val="0"/>
          <w:sz w:val="32"/>
          <w:szCs w:val="32"/>
        </w:rPr>
        <w:t>村民小组，统维村白浪统、啦嘛寺、落吉古、下凉台、小维西</w:t>
      </w:r>
      <w:r>
        <w:rPr>
          <w:rFonts w:hint="eastAsia" w:ascii="方正仿宋_GBK" w:hAnsi="方正仿宋_GBK" w:eastAsia="方正仿宋_GBK" w:cs="方正仿宋_GBK"/>
          <w:kern w:val="0"/>
          <w:sz w:val="32"/>
          <w:szCs w:val="32"/>
          <w:lang w:val="en-US" w:eastAsia="zh-CN"/>
        </w:rPr>
        <w:t>5个</w:t>
      </w:r>
      <w:r>
        <w:rPr>
          <w:rFonts w:hint="eastAsia" w:ascii="方正仿宋_GBK" w:hAnsi="方正仿宋_GBK" w:eastAsia="方正仿宋_GBK" w:cs="方正仿宋_GBK"/>
          <w:kern w:val="0"/>
          <w:sz w:val="32"/>
          <w:szCs w:val="32"/>
        </w:rPr>
        <w:t>村民小组，永安村巴倮下、杵打下、三家村、王打、窝怒、岩瓦</w:t>
      </w:r>
      <w:r>
        <w:rPr>
          <w:rFonts w:hint="eastAsia" w:ascii="方正仿宋_GBK" w:hAnsi="方正仿宋_GBK" w:eastAsia="方正仿宋_GBK" w:cs="方正仿宋_GBK"/>
          <w:kern w:val="0"/>
          <w:sz w:val="32"/>
          <w:szCs w:val="32"/>
          <w:lang w:val="en-US" w:eastAsia="zh-CN"/>
        </w:rPr>
        <w:t>6个</w:t>
      </w:r>
      <w:r>
        <w:rPr>
          <w:rFonts w:hint="eastAsia" w:ascii="方正仿宋_GBK" w:hAnsi="方正仿宋_GBK" w:eastAsia="方正仿宋_GBK" w:cs="方正仿宋_GBK"/>
          <w:kern w:val="0"/>
          <w:sz w:val="32"/>
          <w:szCs w:val="32"/>
        </w:rPr>
        <w:t>村民小组；康普乡阿倮村阿倮上、阿倮下</w:t>
      </w:r>
      <w:r>
        <w:rPr>
          <w:rFonts w:hint="eastAsia" w:ascii="方正仿宋_GBK" w:hAnsi="方正仿宋_GBK" w:eastAsia="方正仿宋_GBK" w:cs="方正仿宋_GBK"/>
          <w:kern w:val="0"/>
          <w:sz w:val="32"/>
          <w:szCs w:val="32"/>
          <w:lang w:val="en-US" w:eastAsia="zh-CN"/>
        </w:rPr>
        <w:t>2个</w:t>
      </w:r>
      <w:r>
        <w:rPr>
          <w:rFonts w:hint="eastAsia" w:ascii="方正仿宋_GBK" w:hAnsi="方正仿宋_GBK" w:eastAsia="方正仿宋_GBK" w:cs="方正仿宋_GBK"/>
          <w:kern w:val="0"/>
          <w:sz w:val="32"/>
          <w:szCs w:val="32"/>
        </w:rPr>
        <w:t>村民小组，阿尼比村迪子乐、托扒比</w:t>
      </w:r>
      <w:r>
        <w:rPr>
          <w:rFonts w:hint="eastAsia" w:ascii="方正仿宋_GBK" w:hAnsi="方正仿宋_GBK" w:eastAsia="方正仿宋_GBK" w:cs="方正仿宋_GBK"/>
          <w:kern w:val="0"/>
          <w:sz w:val="32"/>
          <w:szCs w:val="32"/>
          <w:lang w:val="en-US" w:eastAsia="zh-CN"/>
        </w:rPr>
        <w:t>2个</w:t>
      </w:r>
      <w:r>
        <w:rPr>
          <w:rFonts w:hint="eastAsia" w:ascii="方正仿宋_GBK" w:hAnsi="方正仿宋_GBK" w:eastAsia="方正仿宋_GBK" w:cs="方正仿宋_GBK"/>
          <w:kern w:val="0"/>
          <w:sz w:val="32"/>
          <w:szCs w:val="32"/>
        </w:rPr>
        <w:t>村民小组，岔枝村麻栗坪村民小组，康普村大桥、黄草坝、江边、沙坝、下村一</w:t>
      </w:r>
      <w:r>
        <w:rPr>
          <w:rFonts w:hint="eastAsia" w:ascii="方正仿宋_GBK" w:hAnsi="方正仿宋_GBK" w:eastAsia="方正仿宋_GBK" w:cs="方正仿宋_GBK"/>
          <w:kern w:val="0"/>
          <w:sz w:val="32"/>
          <w:szCs w:val="32"/>
          <w:lang w:val="en-US" w:eastAsia="zh-CN"/>
        </w:rPr>
        <w:t>5个</w:t>
      </w:r>
      <w:r>
        <w:rPr>
          <w:rFonts w:hint="eastAsia" w:ascii="方正仿宋_GBK" w:hAnsi="方正仿宋_GBK" w:eastAsia="方正仿宋_GBK" w:cs="方正仿宋_GBK"/>
          <w:kern w:val="0"/>
          <w:sz w:val="32"/>
          <w:szCs w:val="32"/>
        </w:rPr>
        <w:t>村民小组，念里米村阿扒村民小组，弄独村阿弄独、布呀、麻哈洛、弄独</w:t>
      </w:r>
      <w:r>
        <w:rPr>
          <w:rFonts w:hint="eastAsia" w:ascii="方正仿宋_GBK" w:hAnsi="方正仿宋_GBK" w:eastAsia="方正仿宋_GBK" w:cs="方正仿宋_GBK"/>
          <w:kern w:val="0"/>
          <w:sz w:val="32"/>
          <w:szCs w:val="32"/>
          <w:lang w:val="en-US" w:eastAsia="zh-CN"/>
        </w:rPr>
        <w:t>4个</w:t>
      </w:r>
      <w:r>
        <w:rPr>
          <w:rFonts w:hint="eastAsia" w:ascii="方正仿宋_GBK" w:hAnsi="方正仿宋_GBK" w:eastAsia="方正仿宋_GBK" w:cs="方正仿宋_GBK"/>
          <w:kern w:val="0"/>
          <w:sz w:val="32"/>
          <w:szCs w:val="32"/>
        </w:rPr>
        <w:t>村民小组，齐乐村阿么米、坪子</w:t>
      </w:r>
      <w:r>
        <w:rPr>
          <w:rFonts w:hint="eastAsia" w:ascii="方正仿宋_GBK" w:hAnsi="方正仿宋_GBK" w:eastAsia="方正仿宋_GBK" w:cs="方正仿宋_GBK"/>
          <w:kern w:val="0"/>
          <w:sz w:val="32"/>
          <w:szCs w:val="32"/>
          <w:lang w:val="en-US" w:eastAsia="zh-CN"/>
        </w:rPr>
        <w:t>2个</w:t>
      </w:r>
      <w:r>
        <w:rPr>
          <w:rFonts w:hint="eastAsia" w:ascii="方正仿宋_GBK" w:hAnsi="方正仿宋_GBK" w:eastAsia="方正仿宋_GBK" w:cs="方正仿宋_GBK"/>
          <w:kern w:val="0"/>
          <w:sz w:val="32"/>
          <w:szCs w:val="32"/>
        </w:rPr>
        <w:t>村民小组；攀天阁乡新华村阿喃多、阿喃多塘、菖浦底</w:t>
      </w:r>
      <w:r>
        <w:rPr>
          <w:rFonts w:hint="eastAsia" w:ascii="方正仿宋_GBK" w:hAnsi="方正仿宋_GBK" w:eastAsia="方正仿宋_GBK" w:cs="方正仿宋_GBK"/>
          <w:kern w:val="0"/>
          <w:sz w:val="32"/>
          <w:szCs w:val="32"/>
          <w:lang w:val="en-US" w:eastAsia="zh-CN"/>
        </w:rPr>
        <w:t>3个</w:t>
      </w:r>
      <w:r>
        <w:rPr>
          <w:rFonts w:hint="eastAsia" w:ascii="方正仿宋_GBK" w:hAnsi="方正仿宋_GBK" w:eastAsia="方正仿宋_GBK" w:cs="方正仿宋_GBK"/>
          <w:kern w:val="0"/>
          <w:sz w:val="32"/>
          <w:szCs w:val="32"/>
        </w:rPr>
        <w:t>村民小组；叶枝镇拉波洛村拉波洛村民小组，松洛村迪满村民小组，叶枝村新塘村民小组；中路乡施根登村松坡下村民小组，咱利村比独、吉介土、鲁母底、咱利</w:t>
      </w:r>
      <w:r>
        <w:rPr>
          <w:rFonts w:hint="eastAsia" w:ascii="方正仿宋_GBK" w:hAnsi="方正仿宋_GBK" w:eastAsia="方正仿宋_GBK" w:cs="方正仿宋_GBK"/>
          <w:kern w:val="0"/>
          <w:sz w:val="32"/>
          <w:szCs w:val="32"/>
          <w:lang w:val="en-US" w:eastAsia="zh-CN"/>
        </w:rPr>
        <w:t>4个</w:t>
      </w:r>
      <w:r>
        <w:rPr>
          <w:rFonts w:hint="eastAsia" w:ascii="方正仿宋_GBK" w:hAnsi="方正仿宋_GBK" w:eastAsia="方正仿宋_GBK" w:cs="方正仿宋_GBK"/>
          <w:kern w:val="0"/>
          <w:sz w:val="32"/>
          <w:szCs w:val="32"/>
        </w:rPr>
        <w:t>村民小组。共计5个乡（镇），25个村民委员会，77个村民小组。拟征收集体土地面积1800.0806公顷。</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二、土地现状</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kern w:val="0"/>
          <w:sz w:val="32"/>
          <w:szCs w:val="32"/>
        </w:rPr>
        <w:t>该项目用地涉及维西傈僳族自治县总面积2725.9187公顷，其中农用地1628.0253公顷（耕地562.7969公顷、</w:t>
      </w:r>
      <w:r>
        <w:rPr>
          <w:rFonts w:hint="eastAsia" w:ascii="方正仿宋_GBK" w:hAnsi="方正仿宋_GBK" w:eastAsia="方正仿宋_GBK" w:cs="方正仿宋_GBK"/>
          <w:color w:val="000000"/>
          <w:kern w:val="0"/>
          <w:sz w:val="32"/>
          <w:szCs w:val="32"/>
        </w:rPr>
        <w:t>园地28.0442公顷、林地852.2162公顷、其它农用地184.9680公顷），建设用地123.3534公顷，未利用地974.5400公顷。</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拟征收集体土地面积1800.0806公顷，农用地1624.2105公顷（耕地562.7969公顷、园地28.0442公顷、林地848.4014公顷、其它农用地184.9680公顷），建设用地75.1012公顷，未利用地100.7689公顷。</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涉及农村村民住宅2150户，共涉及660832.60㎡，其中：框混结构27559.45㎡、砖混结构97740.85㎡、砖(石)木结构276134.12㎡、砖土木结构134663.39㎡、土木结构74087.13㎡、木（竹）结构50647.66㎡。</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涉及地上附着物有水池9439.55m</w:t>
      </w:r>
      <w:r>
        <w:rPr>
          <w:rFonts w:hint="eastAsia" w:ascii="方正仿宋_GBK" w:hAnsi="方正仿宋_GBK" w:eastAsia="方正仿宋_GBK" w:cs="方正仿宋_GBK"/>
          <w:color w:val="000000"/>
          <w:kern w:val="0"/>
          <w:sz w:val="32"/>
          <w:szCs w:val="32"/>
          <w:vertAlign w:val="superscript"/>
        </w:rPr>
        <w:t>3</w:t>
      </w:r>
      <w:r>
        <w:rPr>
          <w:rFonts w:hint="eastAsia" w:ascii="方正仿宋_GBK" w:hAnsi="方正仿宋_GBK" w:eastAsia="方正仿宋_GBK" w:cs="方正仿宋_GBK"/>
          <w:color w:val="000000"/>
          <w:kern w:val="0"/>
          <w:sz w:val="32"/>
          <w:szCs w:val="32"/>
        </w:rPr>
        <w:t>、晒坪312357.38㎡、牲畜圈4435.75m</w:t>
      </w:r>
      <w:r>
        <w:rPr>
          <w:rFonts w:hint="eastAsia" w:ascii="方正仿宋_GBK" w:hAnsi="方正仿宋_GBK" w:eastAsia="方正仿宋_GBK" w:cs="方正仿宋_GBK"/>
          <w:color w:val="000000"/>
          <w:kern w:val="0"/>
          <w:sz w:val="32"/>
          <w:szCs w:val="32"/>
          <w:vertAlign w:val="superscript"/>
        </w:rPr>
        <w:t>2</w:t>
      </w:r>
      <w:r>
        <w:rPr>
          <w:rFonts w:hint="eastAsia" w:ascii="方正仿宋_GBK" w:hAnsi="方正仿宋_GBK" w:eastAsia="方正仿宋_GBK" w:cs="方正仿宋_GBK"/>
          <w:color w:val="000000"/>
          <w:kern w:val="0"/>
          <w:sz w:val="32"/>
          <w:szCs w:val="32"/>
        </w:rPr>
        <w:t>、坟墓1579冢、零星果木417000棵。</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该项目不涉及青苗。</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三、征收目的</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本次拟征收土地用于云南澜沧江托巴水电站项目库区建设用地，符合《中华人民共和国土地管理法》第四十五条规定，为公共利益的需要可以征收土地情形。</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四、征地补偿标准</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征地补偿标准按《云南省自然资源厅关于公布实施全省征收农用地区片综合地价的通知》（云自然资〔2020〕173号）执行。涉及Ⅰ区片，其中：水田、建设用地补偿标准为89.2800万元/公顷，水浇地、旱地、园地、其他农用地补偿标准为74.4000万元/公顷，林地补偿标准为22.3200万元/公顷，未利用地补偿标准为29.7600万元/公顷。</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kern w:val="0"/>
          <w:sz w:val="32"/>
          <w:szCs w:val="32"/>
        </w:rPr>
        <w:t>五、农村村民住宅、地上附着物及青苗补偿费</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方正仿宋_GBK" w:hAnsi="方正仿宋_GBK" w:eastAsia="方正仿宋_GBK" w:cs="方正仿宋_GBK"/>
          <w:color w:val="FF0000"/>
          <w:kern w:val="0"/>
          <w:sz w:val="32"/>
          <w:szCs w:val="32"/>
        </w:rPr>
      </w:pPr>
      <w:r>
        <w:rPr>
          <w:rFonts w:hint="eastAsia" w:ascii="方正仿宋_GBK" w:hAnsi="方正仿宋_GBK" w:eastAsia="方正仿宋_GBK" w:cs="方正仿宋_GBK"/>
          <w:color w:val="000000"/>
          <w:kern w:val="0"/>
          <w:sz w:val="32"/>
          <w:szCs w:val="32"/>
        </w:rPr>
        <w:t>本次征地涉及农村村民住宅、地上附着物和青苗费等标准依据</w:t>
      </w:r>
      <w:r>
        <w:rPr>
          <w:rFonts w:hint="eastAsia" w:ascii="方正仿宋_GBK" w:hAnsi="方正仿宋_GBK" w:eastAsia="方正仿宋_GBK" w:cs="方正仿宋_GBK"/>
          <w:kern w:val="0"/>
          <w:sz w:val="32"/>
          <w:szCs w:val="32"/>
        </w:rPr>
        <w:t>《维西傈僳族自治县人民政府办公室关于印发澜沧江托巴水电站工程建设征地移民安置工作实施方案的通知》（维政办发〔2018〕152号）、《维西傈僳族自治县人民政府关于印发维西县大中型水电站建设被征收土地青苗和零星树木补偿标准的通知》（维政发〔2010〕53号）以及《维西傈僳族自治县人民政府关于补充澜沧江大中型电站开发中增加核桃 板栗幼树补偿标准的批复》（维政复〔2016〕15号）执行。</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color w:val="000000"/>
          <w:kern w:val="0"/>
          <w:sz w:val="32"/>
          <w:szCs w:val="32"/>
          <w:lang w:eastAsia="zh-CN"/>
        </w:rPr>
        <w:t>一</w:t>
      </w:r>
      <w:r>
        <w:rPr>
          <w:rFonts w:hint="eastAsia" w:ascii="方正仿宋_GBK" w:hAnsi="方正仿宋_GBK" w:eastAsia="方正仿宋_GBK" w:cs="方正仿宋_GBK"/>
          <w:color w:val="000000"/>
          <w:kern w:val="0"/>
          <w:sz w:val="32"/>
          <w:szCs w:val="32"/>
        </w:rPr>
        <w:t>）农村村民住宅补偿表</w:t>
      </w:r>
    </w:p>
    <w:tbl>
      <w:tblPr>
        <w:tblStyle w:val="3"/>
        <w:tblW w:w="8428" w:type="dxa"/>
        <w:jc w:val="center"/>
        <w:tblInd w:w="0" w:type="dxa"/>
        <w:tblLayout w:type="fixed"/>
        <w:tblCellMar>
          <w:top w:w="0" w:type="dxa"/>
          <w:left w:w="108" w:type="dxa"/>
          <w:bottom w:w="0" w:type="dxa"/>
          <w:right w:w="108" w:type="dxa"/>
        </w:tblCellMar>
      </w:tblPr>
      <w:tblGrid>
        <w:gridCol w:w="1624"/>
        <w:gridCol w:w="2694"/>
        <w:gridCol w:w="2693"/>
        <w:gridCol w:w="1417"/>
      </w:tblGrid>
      <w:tr>
        <w:tblPrEx>
          <w:tblLayout w:type="fixed"/>
          <w:tblCellMar>
            <w:top w:w="0" w:type="dxa"/>
            <w:left w:w="108" w:type="dxa"/>
            <w:bottom w:w="0" w:type="dxa"/>
            <w:right w:w="108" w:type="dxa"/>
          </w:tblCellMar>
        </w:tblPrEx>
        <w:trPr>
          <w:trHeight w:val="600" w:hRule="atLeast"/>
          <w:jc w:val="center"/>
        </w:trPr>
        <w:tc>
          <w:tcPr>
            <w:tcW w:w="43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项目</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FF0000"/>
                <w:kern w:val="0"/>
                <w:sz w:val="32"/>
                <w:szCs w:val="32"/>
              </w:rPr>
            </w:pPr>
            <w:r>
              <w:rPr>
                <w:rFonts w:hint="eastAsia" w:ascii="方正仿宋_GBK" w:hAnsi="方正仿宋_GBK" w:eastAsia="方正仿宋_GBK" w:cs="方正仿宋_GBK"/>
                <w:kern w:val="0"/>
                <w:sz w:val="32"/>
                <w:szCs w:val="32"/>
              </w:rPr>
              <w:t>补偿单价（元/㎡）</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备注</w:t>
            </w:r>
          </w:p>
        </w:tc>
      </w:tr>
      <w:tr>
        <w:tblPrEx>
          <w:tblLayout w:type="fixed"/>
          <w:tblCellMar>
            <w:top w:w="0" w:type="dxa"/>
            <w:left w:w="108" w:type="dxa"/>
            <w:bottom w:w="0" w:type="dxa"/>
            <w:right w:w="108" w:type="dxa"/>
          </w:tblCellMar>
        </w:tblPrEx>
        <w:trPr>
          <w:trHeight w:val="390" w:hRule="atLeast"/>
          <w:jc w:val="center"/>
        </w:trPr>
        <w:tc>
          <w:tcPr>
            <w:tcW w:w="1624" w:type="dxa"/>
            <w:vMerge w:val="restart"/>
            <w:tcBorders>
              <w:top w:val="nil"/>
              <w:left w:val="single" w:color="auto" w:sz="4" w:space="0"/>
              <w:right w:val="single" w:color="auto" w:sz="4" w:space="0"/>
            </w:tcBorders>
            <w:noWrap/>
            <w:vAlign w:val="center"/>
          </w:tcPr>
          <w:p>
            <w:pPr>
              <w:keepNext w:val="0"/>
              <w:keepLines w:val="0"/>
              <w:pageBreakBefore w:val="0"/>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主房</w:t>
            </w:r>
          </w:p>
        </w:tc>
        <w:tc>
          <w:tcPr>
            <w:tcW w:w="269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框架结构</w:t>
            </w:r>
          </w:p>
        </w:tc>
        <w:tc>
          <w:tcPr>
            <w:tcW w:w="26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1250</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r>
      <w:tr>
        <w:tblPrEx>
          <w:tblLayout w:type="fixed"/>
          <w:tblCellMar>
            <w:top w:w="0" w:type="dxa"/>
            <w:left w:w="108" w:type="dxa"/>
            <w:bottom w:w="0" w:type="dxa"/>
            <w:right w:w="108" w:type="dxa"/>
          </w:tblCellMar>
        </w:tblPrEx>
        <w:trPr>
          <w:trHeight w:val="390" w:hRule="atLeast"/>
          <w:jc w:val="center"/>
        </w:trPr>
        <w:tc>
          <w:tcPr>
            <w:tcW w:w="1624"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c>
          <w:tcPr>
            <w:tcW w:w="269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砖混结构</w:t>
            </w:r>
          </w:p>
        </w:tc>
        <w:tc>
          <w:tcPr>
            <w:tcW w:w="26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1090</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r>
      <w:tr>
        <w:tblPrEx>
          <w:tblLayout w:type="fixed"/>
          <w:tblCellMar>
            <w:top w:w="0" w:type="dxa"/>
            <w:left w:w="108" w:type="dxa"/>
            <w:bottom w:w="0" w:type="dxa"/>
            <w:right w:w="108" w:type="dxa"/>
          </w:tblCellMar>
        </w:tblPrEx>
        <w:trPr>
          <w:trHeight w:val="390" w:hRule="atLeast"/>
          <w:jc w:val="center"/>
        </w:trPr>
        <w:tc>
          <w:tcPr>
            <w:tcW w:w="162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c>
          <w:tcPr>
            <w:tcW w:w="269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砖(石)木结构</w:t>
            </w:r>
          </w:p>
        </w:tc>
        <w:tc>
          <w:tcPr>
            <w:tcW w:w="26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933</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r>
      <w:tr>
        <w:tblPrEx>
          <w:tblLayout w:type="fixed"/>
          <w:tblCellMar>
            <w:top w:w="0" w:type="dxa"/>
            <w:left w:w="108" w:type="dxa"/>
            <w:bottom w:w="0" w:type="dxa"/>
            <w:right w:w="108" w:type="dxa"/>
          </w:tblCellMar>
        </w:tblPrEx>
        <w:trPr>
          <w:trHeight w:val="418" w:hRule="atLeast"/>
          <w:jc w:val="center"/>
        </w:trPr>
        <w:tc>
          <w:tcPr>
            <w:tcW w:w="162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c>
          <w:tcPr>
            <w:tcW w:w="269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砖土木结构</w:t>
            </w:r>
          </w:p>
        </w:tc>
        <w:tc>
          <w:tcPr>
            <w:tcW w:w="26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773</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r>
      <w:tr>
        <w:tblPrEx>
          <w:tblLayout w:type="fixed"/>
          <w:tblCellMar>
            <w:top w:w="0" w:type="dxa"/>
            <w:left w:w="108" w:type="dxa"/>
            <w:bottom w:w="0" w:type="dxa"/>
            <w:right w:w="108" w:type="dxa"/>
          </w:tblCellMar>
        </w:tblPrEx>
        <w:trPr>
          <w:trHeight w:val="390" w:hRule="atLeast"/>
          <w:jc w:val="center"/>
        </w:trPr>
        <w:tc>
          <w:tcPr>
            <w:tcW w:w="162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c>
          <w:tcPr>
            <w:tcW w:w="269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土木结构</w:t>
            </w:r>
          </w:p>
        </w:tc>
        <w:tc>
          <w:tcPr>
            <w:tcW w:w="26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727</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r>
      <w:tr>
        <w:tblPrEx>
          <w:tblLayout w:type="fixed"/>
          <w:tblCellMar>
            <w:top w:w="0" w:type="dxa"/>
            <w:left w:w="108" w:type="dxa"/>
            <w:bottom w:w="0" w:type="dxa"/>
            <w:right w:w="108" w:type="dxa"/>
          </w:tblCellMar>
        </w:tblPrEx>
        <w:trPr>
          <w:trHeight w:val="335" w:hRule="atLeast"/>
          <w:jc w:val="center"/>
        </w:trPr>
        <w:tc>
          <w:tcPr>
            <w:tcW w:w="162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c>
          <w:tcPr>
            <w:tcW w:w="269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木竹结构</w:t>
            </w:r>
          </w:p>
        </w:tc>
        <w:tc>
          <w:tcPr>
            <w:tcW w:w="26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665</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r>
    </w:tbl>
    <w:p>
      <w:pPr>
        <w:keepNext w:val="0"/>
        <w:keepLines w:val="0"/>
        <w:pageBreakBefore w:val="0"/>
        <w:kinsoku/>
        <w:wordWrap/>
        <w:overflowPunct/>
        <w:topLinePunct w:val="0"/>
        <w:bidi w:val="0"/>
        <w:snapToGrid/>
        <w:spacing w:beforeAutospacing="0" w:line="58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二</w:t>
      </w:r>
      <w:r>
        <w:rPr>
          <w:rFonts w:hint="eastAsia" w:ascii="方正仿宋_GBK" w:hAnsi="方正仿宋_GBK" w:eastAsia="方正仿宋_GBK" w:cs="方正仿宋_GBK"/>
          <w:color w:val="000000"/>
          <w:sz w:val="32"/>
          <w:szCs w:val="32"/>
        </w:rPr>
        <w:t>）地上附着物补偿标准表</w:t>
      </w:r>
    </w:p>
    <w:tbl>
      <w:tblPr>
        <w:tblStyle w:val="3"/>
        <w:tblW w:w="8414" w:type="dxa"/>
        <w:tblInd w:w="108" w:type="dxa"/>
        <w:tblLayout w:type="fixed"/>
        <w:tblCellMar>
          <w:top w:w="0" w:type="dxa"/>
          <w:left w:w="108" w:type="dxa"/>
          <w:bottom w:w="0" w:type="dxa"/>
          <w:right w:w="108" w:type="dxa"/>
        </w:tblCellMar>
      </w:tblPr>
      <w:tblGrid>
        <w:gridCol w:w="1413"/>
        <w:gridCol w:w="2982"/>
        <w:gridCol w:w="2525"/>
        <w:gridCol w:w="1494"/>
      </w:tblGrid>
      <w:tr>
        <w:tblPrEx>
          <w:tblLayout w:type="fixed"/>
          <w:tblCellMar>
            <w:top w:w="0" w:type="dxa"/>
            <w:left w:w="108" w:type="dxa"/>
            <w:bottom w:w="0" w:type="dxa"/>
            <w:right w:w="108" w:type="dxa"/>
          </w:tblCellMar>
        </w:tblPrEx>
        <w:trPr>
          <w:trHeight w:val="523"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序号</w:t>
            </w:r>
          </w:p>
        </w:tc>
        <w:tc>
          <w:tcPr>
            <w:tcW w:w="298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类型</w:t>
            </w:r>
          </w:p>
        </w:tc>
        <w:tc>
          <w:tcPr>
            <w:tcW w:w="2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补偿单价</w:t>
            </w:r>
          </w:p>
        </w:tc>
        <w:tc>
          <w:tcPr>
            <w:tcW w:w="1494"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备注</w:t>
            </w:r>
          </w:p>
        </w:tc>
      </w:tr>
      <w:tr>
        <w:tblPrEx>
          <w:tblLayout w:type="fixed"/>
          <w:tblCellMar>
            <w:top w:w="0" w:type="dxa"/>
            <w:left w:w="108" w:type="dxa"/>
            <w:bottom w:w="0" w:type="dxa"/>
            <w:right w:w="108" w:type="dxa"/>
          </w:tblCellMar>
        </w:tblPrEx>
        <w:trPr>
          <w:trHeight w:val="546" w:hRule="atLeast"/>
        </w:trPr>
        <w:tc>
          <w:tcPr>
            <w:tcW w:w="14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w:t>
            </w:r>
          </w:p>
        </w:tc>
        <w:tc>
          <w:tcPr>
            <w:tcW w:w="2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水池</w:t>
            </w:r>
          </w:p>
        </w:tc>
        <w:tc>
          <w:tcPr>
            <w:tcW w:w="252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200/m</w:t>
            </w:r>
            <w:r>
              <w:rPr>
                <w:rFonts w:hint="eastAsia" w:ascii="方正仿宋_GBK" w:hAnsi="方正仿宋_GBK" w:eastAsia="方正仿宋_GBK" w:cs="方正仿宋_GBK"/>
                <w:color w:val="000000"/>
                <w:kern w:val="0"/>
                <w:sz w:val="32"/>
                <w:szCs w:val="32"/>
                <w:vertAlign w:val="superscript"/>
              </w:rPr>
              <w:t>3</w:t>
            </w:r>
          </w:p>
        </w:tc>
        <w:tc>
          <w:tcPr>
            <w:tcW w:w="1494"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r>
      <w:tr>
        <w:tblPrEx>
          <w:tblLayout w:type="fixed"/>
          <w:tblCellMar>
            <w:top w:w="0" w:type="dxa"/>
            <w:left w:w="108" w:type="dxa"/>
            <w:bottom w:w="0" w:type="dxa"/>
            <w:right w:w="108" w:type="dxa"/>
          </w:tblCellMar>
        </w:tblPrEx>
        <w:trPr>
          <w:trHeight w:val="540" w:hRule="atLeast"/>
        </w:trPr>
        <w:tc>
          <w:tcPr>
            <w:tcW w:w="14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w:t>
            </w:r>
          </w:p>
        </w:tc>
        <w:tc>
          <w:tcPr>
            <w:tcW w:w="2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晒坪</w:t>
            </w:r>
          </w:p>
        </w:tc>
        <w:tc>
          <w:tcPr>
            <w:tcW w:w="252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30/㎡</w:t>
            </w:r>
          </w:p>
        </w:tc>
        <w:tc>
          <w:tcPr>
            <w:tcW w:w="1494"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r>
      <w:tr>
        <w:tblPrEx>
          <w:tblLayout w:type="fixed"/>
          <w:tblCellMar>
            <w:top w:w="0" w:type="dxa"/>
            <w:left w:w="108" w:type="dxa"/>
            <w:bottom w:w="0" w:type="dxa"/>
            <w:right w:w="108" w:type="dxa"/>
          </w:tblCellMar>
        </w:tblPrEx>
        <w:trPr>
          <w:trHeight w:val="561" w:hRule="atLeast"/>
        </w:trPr>
        <w:tc>
          <w:tcPr>
            <w:tcW w:w="14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3</w:t>
            </w:r>
          </w:p>
        </w:tc>
        <w:tc>
          <w:tcPr>
            <w:tcW w:w="2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牲畜圈</w:t>
            </w:r>
          </w:p>
        </w:tc>
        <w:tc>
          <w:tcPr>
            <w:tcW w:w="252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80/㎡</w:t>
            </w:r>
          </w:p>
        </w:tc>
        <w:tc>
          <w:tcPr>
            <w:tcW w:w="1494"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r>
      <w:tr>
        <w:tblPrEx>
          <w:tblLayout w:type="fixed"/>
          <w:tblCellMar>
            <w:top w:w="0" w:type="dxa"/>
            <w:left w:w="108" w:type="dxa"/>
            <w:bottom w:w="0" w:type="dxa"/>
            <w:right w:w="108" w:type="dxa"/>
          </w:tblCellMar>
        </w:tblPrEx>
        <w:trPr>
          <w:trHeight w:val="555" w:hRule="atLeast"/>
        </w:trPr>
        <w:tc>
          <w:tcPr>
            <w:tcW w:w="14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4</w:t>
            </w:r>
          </w:p>
        </w:tc>
        <w:tc>
          <w:tcPr>
            <w:tcW w:w="2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坟墓</w:t>
            </w:r>
          </w:p>
        </w:tc>
        <w:tc>
          <w:tcPr>
            <w:tcW w:w="252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1200/冢</w:t>
            </w:r>
          </w:p>
        </w:tc>
        <w:tc>
          <w:tcPr>
            <w:tcW w:w="1494"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r>
      <w:tr>
        <w:tblPrEx>
          <w:tblLayout w:type="fixed"/>
          <w:tblCellMar>
            <w:top w:w="0" w:type="dxa"/>
            <w:left w:w="108" w:type="dxa"/>
            <w:bottom w:w="0" w:type="dxa"/>
            <w:right w:w="108" w:type="dxa"/>
          </w:tblCellMar>
        </w:tblPrEx>
        <w:trPr>
          <w:trHeight w:val="548" w:hRule="atLeast"/>
        </w:trPr>
        <w:tc>
          <w:tcPr>
            <w:tcW w:w="14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5</w:t>
            </w:r>
          </w:p>
        </w:tc>
        <w:tc>
          <w:tcPr>
            <w:tcW w:w="2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零星果木</w:t>
            </w:r>
          </w:p>
        </w:tc>
        <w:tc>
          <w:tcPr>
            <w:tcW w:w="252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1500/棵</w:t>
            </w:r>
          </w:p>
        </w:tc>
        <w:tc>
          <w:tcPr>
            <w:tcW w:w="1494"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r>
    </w:tbl>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color w:val="000000"/>
          <w:kern w:val="0"/>
          <w:sz w:val="32"/>
          <w:szCs w:val="32"/>
          <w:lang w:eastAsia="zh-CN"/>
        </w:rPr>
        <w:t>三</w:t>
      </w:r>
      <w:r>
        <w:rPr>
          <w:rFonts w:hint="eastAsia" w:ascii="方正仿宋_GBK" w:hAnsi="方正仿宋_GBK" w:eastAsia="方正仿宋_GBK" w:cs="方正仿宋_GBK"/>
          <w:color w:val="000000"/>
          <w:kern w:val="0"/>
          <w:sz w:val="32"/>
          <w:szCs w:val="32"/>
        </w:rPr>
        <w:t>）零星果木补偿标准表</w:t>
      </w:r>
    </w:p>
    <w:tbl>
      <w:tblPr>
        <w:tblStyle w:val="3"/>
        <w:tblW w:w="8414" w:type="dxa"/>
        <w:tblInd w:w="108" w:type="dxa"/>
        <w:tblLayout w:type="fixed"/>
        <w:tblCellMar>
          <w:top w:w="0" w:type="dxa"/>
          <w:left w:w="108" w:type="dxa"/>
          <w:bottom w:w="0" w:type="dxa"/>
          <w:right w:w="108" w:type="dxa"/>
        </w:tblCellMar>
      </w:tblPr>
      <w:tblGrid>
        <w:gridCol w:w="1413"/>
        <w:gridCol w:w="2982"/>
        <w:gridCol w:w="2525"/>
        <w:gridCol w:w="1494"/>
      </w:tblGrid>
      <w:tr>
        <w:tblPrEx>
          <w:tblLayout w:type="fixed"/>
          <w:tblCellMar>
            <w:top w:w="0" w:type="dxa"/>
            <w:left w:w="108" w:type="dxa"/>
            <w:bottom w:w="0" w:type="dxa"/>
            <w:right w:w="108" w:type="dxa"/>
          </w:tblCellMar>
        </w:tblPrEx>
        <w:trPr>
          <w:trHeight w:val="523"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序号</w:t>
            </w:r>
          </w:p>
        </w:tc>
        <w:tc>
          <w:tcPr>
            <w:tcW w:w="298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类型</w:t>
            </w:r>
          </w:p>
        </w:tc>
        <w:tc>
          <w:tcPr>
            <w:tcW w:w="2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补偿单价</w:t>
            </w:r>
          </w:p>
        </w:tc>
        <w:tc>
          <w:tcPr>
            <w:tcW w:w="1494"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备注</w:t>
            </w:r>
          </w:p>
        </w:tc>
      </w:tr>
      <w:tr>
        <w:tblPrEx>
          <w:tblLayout w:type="fixed"/>
          <w:tblCellMar>
            <w:top w:w="0" w:type="dxa"/>
            <w:left w:w="108" w:type="dxa"/>
            <w:bottom w:w="0" w:type="dxa"/>
            <w:right w:w="108" w:type="dxa"/>
          </w:tblCellMar>
        </w:tblPrEx>
        <w:trPr>
          <w:trHeight w:val="546" w:hRule="atLeast"/>
        </w:trPr>
        <w:tc>
          <w:tcPr>
            <w:tcW w:w="14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w:t>
            </w:r>
          </w:p>
        </w:tc>
        <w:tc>
          <w:tcPr>
            <w:tcW w:w="2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大树</w:t>
            </w:r>
          </w:p>
        </w:tc>
        <w:tc>
          <w:tcPr>
            <w:tcW w:w="252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6000</w:t>
            </w:r>
          </w:p>
        </w:tc>
        <w:tc>
          <w:tcPr>
            <w:tcW w:w="1494"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r>
      <w:tr>
        <w:tblPrEx>
          <w:tblLayout w:type="fixed"/>
          <w:tblCellMar>
            <w:top w:w="0" w:type="dxa"/>
            <w:left w:w="108" w:type="dxa"/>
            <w:bottom w:w="0" w:type="dxa"/>
            <w:right w:w="108" w:type="dxa"/>
          </w:tblCellMar>
        </w:tblPrEx>
        <w:trPr>
          <w:trHeight w:val="552" w:hRule="atLeast"/>
        </w:trPr>
        <w:tc>
          <w:tcPr>
            <w:tcW w:w="14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w:t>
            </w:r>
          </w:p>
        </w:tc>
        <w:tc>
          <w:tcPr>
            <w:tcW w:w="2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中树</w:t>
            </w:r>
          </w:p>
        </w:tc>
        <w:tc>
          <w:tcPr>
            <w:tcW w:w="252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2500</w:t>
            </w:r>
          </w:p>
        </w:tc>
        <w:tc>
          <w:tcPr>
            <w:tcW w:w="1494"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r>
      <w:tr>
        <w:tblPrEx>
          <w:tblLayout w:type="fixed"/>
          <w:tblCellMar>
            <w:top w:w="0" w:type="dxa"/>
            <w:left w:w="108" w:type="dxa"/>
            <w:bottom w:w="0" w:type="dxa"/>
            <w:right w:w="108" w:type="dxa"/>
          </w:tblCellMar>
        </w:tblPrEx>
        <w:trPr>
          <w:trHeight w:val="561" w:hRule="atLeast"/>
        </w:trPr>
        <w:tc>
          <w:tcPr>
            <w:tcW w:w="14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3</w:t>
            </w:r>
          </w:p>
        </w:tc>
        <w:tc>
          <w:tcPr>
            <w:tcW w:w="2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小树</w:t>
            </w:r>
          </w:p>
        </w:tc>
        <w:tc>
          <w:tcPr>
            <w:tcW w:w="252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600</w:t>
            </w:r>
          </w:p>
        </w:tc>
        <w:tc>
          <w:tcPr>
            <w:tcW w:w="1494"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r>
      <w:tr>
        <w:tblPrEx>
          <w:tblLayout w:type="fixed"/>
          <w:tblCellMar>
            <w:top w:w="0" w:type="dxa"/>
            <w:left w:w="108" w:type="dxa"/>
            <w:bottom w:w="0" w:type="dxa"/>
            <w:right w:w="108" w:type="dxa"/>
          </w:tblCellMar>
        </w:tblPrEx>
        <w:trPr>
          <w:trHeight w:val="555" w:hRule="atLeast"/>
        </w:trPr>
        <w:tc>
          <w:tcPr>
            <w:tcW w:w="14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4</w:t>
            </w:r>
          </w:p>
        </w:tc>
        <w:tc>
          <w:tcPr>
            <w:tcW w:w="2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幼树</w:t>
            </w:r>
          </w:p>
        </w:tc>
        <w:tc>
          <w:tcPr>
            <w:tcW w:w="252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10</w:t>
            </w:r>
          </w:p>
        </w:tc>
        <w:tc>
          <w:tcPr>
            <w:tcW w:w="1494"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bidi w:val="0"/>
              <w:snapToGrid/>
              <w:spacing w:beforeAutospacing="0" w:line="580" w:lineRule="exact"/>
              <w:jc w:val="center"/>
              <w:textAlignment w:val="auto"/>
              <w:rPr>
                <w:rFonts w:hint="eastAsia" w:ascii="方正仿宋_GBK" w:hAnsi="方正仿宋_GBK" w:eastAsia="方正仿宋_GBK" w:cs="方正仿宋_GBK"/>
                <w:color w:val="000000"/>
                <w:kern w:val="0"/>
                <w:sz w:val="32"/>
                <w:szCs w:val="32"/>
              </w:rPr>
            </w:pPr>
          </w:p>
        </w:tc>
      </w:tr>
    </w:tbl>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六、安置方式</w:t>
      </w:r>
    </w:p>
    <w:p>
      <w:pPr>
        <w:keepNext w:val="0"/>
        <w:keepLines w:val="0"/>
        <w:pageBreakBefore w:val="0"/>
        <w:kinsoku/>
        <w:wordWrap/>
        <w:overflowPunct/>
        <w:topLinePunct w:val="0"/>
        <w:bidi w:val="0"/>
        <w:snapToGrid/>
        <w:spacing w:beforeAutospacing="0" w:line="580"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该项目用地涉及农业人口7392人，需安置劳动力4162人。具体安置方式为：1.移民生产安置采用以“长效补偿”为基础，多形式、多途径安置移民的办法；2.搬迁安置方案是根据电站所在地区的地形、地貌等自然地质条件，结合移民搬迁安置任务及可能的安置条件，在征求移民安置意愿的基础上，经过迪庆州移民局、维西县</w:t>
      </w:r>
      <w:r>
        <w:rPr>
          <w:rFonts w:hint="eastAsia" w:ascii="方正仿宋_GBK" w:hAnsi="方正仿宋_GBK" w:eastAsia="方正仿宋_GBK" w:cs="方正仿宋_GBK"/>
          <w:kern w:val="0"/>
          <w:sz w:val="32"/>
          <w:szCs w:val="32"/>
          <w:lang w:eastAsia="zh-CN"/>
        </w:rPr>
        <w:t>人民</w:t>
      </w:r>
      <w:r>
        <w:rPr>
          <w:rFonts w:hint="eastAsia" w:ascii="方正仿宋_GBK" w:hAnsi="方正仿宋_GBK" w:eastAsia="方正仿宋_GBK" w:cs="方正仿宋_GBK"/>
          <w:kern w:val="0"/>
          <w:sz w:val="32"/>
          <w:szCs w:val="32"/>
        </w:rPr>
        <w:t>政府及移民局、澜沧江公司和中南院共同研究确定采用集中安置、后靠分散安置相结合的搬迁安置方式。</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（一）移民生产安置：以长效补偿为主，根据资源及移民的自身条件情况适当配置土地，长效补偿对应耕地面积为13064.25亩；白济汛集镇采取集体搬迁的方式搬迁至新村集镇新131址，康普集镇局部就地抬高复建。</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搬迁安置方案：1.在经过对地方政府提交的搬迁安置点进行地质勘查之后，尊重移民意愿的前提下规划了2个集镇安置点和6个集中安置点，并结合分散安置方案；2.在尊重宗教信仰及信徒意愿的前提下将小维西教堂搬迁至兰永安置点；3.对涉及的输变电设施、通讯设施结合地方区域规划和集镇新址、集中安置点位置进行复建；事业单位采取复建的安置方案；4.对建设征地影响的道路结合移民安置点的情况及分散安置情况并结合线上人口对交通的需求情况等进行复(改)建，通过库周道路的复(改)建、跨江大桥等方式满足周边交通的需求。</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七、社会保障</w:t>
      </w:r>
    </w:p>
    <w:p>
      <w:pPr>
        <w:keepNext w:val="0"/>
        <w:keepLines w:val="0"/>
        <w:pageBreakBefore w:val="0"/>
        <w:kinsoku/>
        <w:wordWrap/>
        <w:overflowPunct/>
        <w:topLinePunct w:val="0"/>
        <w:autoSpaceDE w:val="0"/>
        <w:autoSpaceDN w:val="0"/>
        <w:bidi w:val="0"/>
        <w:adjustRightInd w:val="0"/>
        <w:snapToGrid/>
        <w:spacing w:beforeAutospacing="0" w:line="58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根据中华人民共和国国务院令第679号（国务院关于修改《大中型水利水电工程建设征地补偿和移民安置条例》的决定）、《国务院关于完善大中型水库移民后期扶持政策的意见》（国发〔2006〕17号）、《云南省人民政府办公厅关于改革完善被征地农民基本养老保障的指导意见》（云政发〔2008〕226号）等文件，云南省人力资源和社会保障厅出具了《关于澜沧江托巴电站项目用地被征地农民社会保障落实情况的审核意见》（云人社复〔2017〕55号），维西傈僳族自治县人民政府已承诺按有关规定要求将符合条件的被征地农民纳入社会保障体系，可以做到被征地农民原有生活水平不降低，长远生计有保障。</w:t>
      </w:r>
    </w:p>
    <w:p>
      <w:pPr>
        <w:keepNext w:val="0"/>
        <w:keepLines w:val="0"/>
        <w:pageBreakBefore w:val="0"/>
        <w:kinsoku/>
        <w:wordWrap/>
        <w:overflowPunct/>
        <w:topLinePunct w:val="0"/>
        <w:autoSpaceDE w:val="0"/>
        <w:autoSpaceDN w:val="0"/>
        <w:bidi w:val="0"/>
        <w:adjustRightInd w:val="0"/>
        <w:snapToGrid/>
        <w:spacing w:beforeAutospacing="0" w:line="580" w:lineRule="exact"/>
        <w:jc w:val="left"/>
        <w:textAlignment w:val="auto"/>
        <w:rPr>
          <w:rFonts w:hint="eastAsia" w:ascii="方正仿宋_GBK" w:hAnsi="方正仿宋_GBK" w:eastAsia="方正仿宋_GBK" w:cs="方正仿宋_GBK"/>
          <w:color w:val="000000"/>
          <w:kern w:val="0"/>
          <w:sz w:val="32"/>
          <w:szCs w:val="32"/>
        </w:rPr>
      </w:pPr>
    </w:p>
    <w:p>
      <w:pPr>
        <w:keepNext w:val="0"/>
        <w:keepLines w:val="0"/>
        <w:pageBreakBefore w:val="0"/>
        <w:kinsoku/>
        <w:wordWrap/>
        <w:overflowPunct/>
        <w:topLinePunct w:val="0"/>
        <w:autoSpaceDE w:val="0"/>
        <w:autoSpaceDN w:val="0"/>
        <w:bidi w:val="0"/>
        <w:adjustRightInd w:val="0"/>
        <w:snapToGrid/>
        <w:spacing w:beforeAutospacing="0" w:line="580" w:lineRule="exact"/>
        <w:ind w:firstLine="6560" w:firstLineChars="2050"/>
        <w:jc w:val="left"/>
        <w:textAlignment w:val="auto"/>
        <w:rPr>
          <w:rFonts w:hint="eastAsia" w:ascii="方正仿宋_GBK" w:hAnsi="方正仿宋_GBK" w:eastAsia="方正仿宋_GBK" w:cs="方正仿宋_GBK"/>
          <w:color w:val="000000"/>
          <w:kern w:val="0"/>
          <w:sz w:val="32"/>
          <w:szCs w:val="32"/>
        </w:rPr>
      </w:pPr>
    </w:p>
    <w:p>
      <w:pPr>
        <w:keepNext w:val="0"/>
        <w:keepLines w:val="0"/>
        <w:pageBreakBefore w:val="0"/>
        <w:kinsoku/>
        <w:wordWrap/>
        <w:overflowPunct/>
        <w:topLinePunct w:val="0"/>
        <w:autoSpaceDE w:val="0"/>
        <w:autoSpaceDN w:val="0"/>
        <w:bidi w:val="0"/>
        <w:adjustRightInd w:val="0"/>
        <w:snapToGrid/>
        <w:spacing w:beforeAutospacing="0" w:line="580" w:lineRule="exact"/>
        <w:jc w:val="right"/>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rPr>
        <w:t>维西傈僳族自治县人民政府</w:t>
      </w:r>
      <w:r>
        <w:rPr>
          <w:rFonts w:hint="eastAsia" w:ascii="方正仿宋_GBK" w:hAnsi="方正仿宋_GBK" w:eastAsia="方正仿宋_GBK" w:cs="方正仿宋_GBK"/>
          <w:color w:val="000000"/>
          <w:kern w:val="0"/>
          <w:sz w:val="32"/>
          <w:szCs w:val="32"/>
          <w:lang w:eastAsia="zh-CN"/>
        </w:rPr>
        <w:t>办公室</w:t>
      </w:r>
    </w:p>
    <w:p>
      <w:pPr>
        <w:keepNext w:val="0"/>
        <w:keepLines w:val="0"/>
        <w:pageBreakBefore w:val="0"/>
        <w:kinsoku/>
        <w:wordWrap/>
        <w:overflowPunct/>
        <w:topLinePunct w:val="0"/>
        <w:bidi w:val="0"/>
        <w:snapToGrid/>
        <w:spacing w:beforeAutospacing="0" w:line="580" w:lineRule="exact"/>
        <w:ind w:firstLine="5120" w:firstLineChars="16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202</w:t>
      </w:r>
      <w:r>
        <w:rPr>
          <w:rFonts w:hint="eastAsia" w:ascii="方正仿宋_GBK" w:hAnsi="方正仿宋_GBK" w:eastAsia="方正仿宋_GBK" w:cs="方正仿宋_GBK"/>
          <w:color w:val="000000"/>
          <w:kern w:val="0"/>
          <w:sz w:val="32"/>
          <w:szCs w:val="32"/>
          <w:lang w:val="en-US" w:eastAsia="zh-CN"/>
        </w:rPr>
        <w:t>2</w:t>
      </w:r>
      <w:r>
        <w:rPr>
          <w:rFonts w:hint="eastAsia" w:ascii="方正仿宋_GBK" w:hAnsi="方正仿宋_GBK" w:eastAsia="方正仿宋_GBK" w:cs="方正仿宋_GBK"/>
          <w:color w:val="000000"/>
          <w:kern w:val="0"/>
          <w:sz w:val="32"/>
          <w:szCs w:val="32"/>
        </w:rPr>
        <w:t>年</w:t>
      </w:r>
      <w:r>
        <w:rPr>
          <w:rFonts w:hint="eastAsia" w:ascii="方正仿宋_GBK" w:hAnsi="方正仿宋_GBK" w:eastAsia="方正仿宋_GBK" w:cs="方正仿宋_GBK"/>
          <w:color w:val="000000"/>
          <w:kern w:val="0"/>
          <w:sz w:val="32"/>
          <w:szCs w:val="32"/>
          <w:lang w:val="en-US" w:eastAsia="zh-CN"/>
        </w:rPr>
        <w:t>2</w:t>
      </w:r>
      <w:r>
        <w:rPr>
          <w:rFonts w:hint="eastAsia" w:ascii="方正仿宋_GBK" w:hAnsi="方正仿宋_GBK" w:eastAsia="方正仿宋_GBK" w:cs="方正仿宋_GBK"/>
          <w:color w:val="000000"/>
          <w:kern w:val="0"/>
          <w:sz w:val="32"/>
          <w:szCs w:val="32"/>
        </w:rPr>
        <w:t>月</w:t>
      </w:r>
      <w:r>
        <w:rPr>
          <w:rFonts w:hint="eastAsia" w:ascii="方正仿宋_GBK" w:hAnsi="方正仿宋_GBK" w:eastAsia="方正仿宋_GBK" w:cs="方正仿宋_GBK"/>
          <w:color w:val="000000"/>
          <w:kern w:val="0"/>
          <w:sz w:val="32"/>
          <w:szCs w:val="32"/>
          <w:lang w:val="en-US" w:eastAsia="zh-CN"/>
        </w:rPr>
        <w:t>23</w:t>
      </w:r>
      <w:r>
        <w:rPr>
          <w:rFonts w:hint="eastAsia" w:ascii="方正仿宋_GBK" w:hAnsi="方正仿宋_GBK" w:eastAsia="方正仿宋_GBK" w:cs="方正仿宋_GBK"/>
          <w:color w:val="000000"/>
          <w:kern w:val="0"/>
          <w:sz w:val="32"/>
          <w:szCs w:val="32"/>
        </w:rPr>
        <w:t>日</w:t>
      </w:r>
    </w:p>
    <w:p>
      <w:pPr>
        <w:pStyle w:val="2"/>
        <w:keepNext w:val="0"/>
        <w:keepLines w:val="0"/>
        <w:pageBreakBefore w:val="0"/>
        <w:kinsoku/>
        <w:wordWrap/>
        <w:overflowPunct/>
        <w:topLinePunct w:val="0"/>
        <w:bidi w:val="0"/>
        <w:snapToGrid/>
        <w:spacing w:beforeAutospacing="0" w:line="580" w:lineRule="exact"/>
        <w:textAlignment w:val="auto"/>
        <w:rPr>
          <w:rFonts w:hint="eastAsia"/>
        </w:rPr>
      </w:pPr>
    </w:p>
    <w:p>
      <w:pPr>
        <w:keepNext w:val="0"/>
        <w:keepLines w:val="0"/>
        <w:pageBreakBefore w:val="0"/>
        <w:kinsoku/>
        <w:wordWrap/>
        <w:overflowPunct/>
        <w:topLinePunct w:val="0"/>
        <w:bidi w:val="0"/>
        <w:snapToGrid/>
        <w:spacing w:beforeAutospacing="0" w:line="580" w:lineRule="exact"/>
        <w:textAlignment w:val="auto"/>
        <w:rPr>
          <w:rFonts w:hint="eastAsia"/>
        </w:rPr>
      </w:pPr>
    </w:p>
    <w:p>
      <w:pPr>
        <w:pStyle w:val="2"/>
        <w:keepNext w:val="0"/>
        <w:keepLines w:val="0"/>
        <w:pageBreakBefore w:val="0"/>
        <w:kinsoku/>
        <w:wordWrap/>
        <w:overflowPunct/>
        <w:topLinePunct w:val="0"/>
        <w:bidi w:val="0"/>
        <w:snapToGrid/>
        <w:spacing w:beforeAutospacing="0" w:line="580" w:lineRule="exact"/>
        <w:textAlignment w:val="auto"/>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F4C9F"/>
    <w:rsid w:val="6D0F4C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1"/>
      <w:lang w:val="en-US" w:eastAsia="zh-CN"/>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2">
    <w:name w:val="Heading2"/>
    <w:basedOn w:val="1"/>
    <w:next w:val="1"/>
    <w:qFormat/>
    <w:uiPriority w:val="0"/>
    <w:pPr>
      <w:spacing w:beforeAutospacing="1" w:after="100" w:afterAutospacing="1"/>
      <w:jc w:val="left"/>
    </w:pPr>
    <w:rPr>
      <w:rFonts w:ascii="宋体" w:hAnsi="宋体"/>
      <w:b/>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迪庆州维西县党政机关单位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2022-12-16T01:55:00Z</dcterms:created>
  <dc:creator>admin</dc:creator>
  <cp:lastModifiedBy>admin</cp:lastModifiedBy>
  <dcterms:modified xsi:type="dcterms:W3CDTF">2022-12-16T01:57:07Z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